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27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160" w:after="283"/>
        <w:jc w:val="center"/>
        <w:rPr>
          <w:rFonts w:ascii="Times New Roman;sans-serif" w:hAnsi="Times New Roman;sans-serif"/>
          <w:b/>
          <w:color w:val="000000"/>
          <w:sz w:val="28"/>
        </w:rPr>
      </w:pPr>
      <w:r>
        <w:rPr>
          <w:rFonts w:ascii="Times New Roman;sans-serif" w:hAnsi="Times New Roman;sans-serif"/>
          <w:b/>
          <w:color w:val="000000"/>
          <w:sz w:val="28"/>
        </w:rPr>
        <w:t>SCHEDULE 14A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14a-101)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INFORMATION REQUIRED IN PROXY STATEMENT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14A INFORMATION</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lineRule="auto" w:line="288" w:before="270" w:after="283"/>
        <w:rPr/>
      </w:pPr>
      <w:r>
        <w:rPr>
          <w:rFonts w:ascii="Times New Roman;sans-serif" w:hAnsi="Times New Roman;sans-serif"/>
          <w:b w:val="false"/>
          <w:color w:val="000000"/>
          <w:sz w:val="16"/>
        </w:rPr>
        <w:t>Filed by the registrant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Filed by a party other than the registrant  </w:t>
      </w:r>
      <w:r>
        <w:rPr>
          <w:color w:val="000000"/>
        </w:rPr>
        <w:t>☐</w:t>
      </w:r>
    </w:p>
    <w:p>
      <w:pPr>
        <w:pStyle w:val="TextBody"/>
        <w:spacing w:lineRule="auto" w:line="288" w:before="200" w:after="283"/>
        <w:rPr>
          <w:rFonts w:ascii="Times New Roman;sans-serif" w:hAnsi="Times New Roman;sans-serif"/>
          <w:b w:val="false"/>
          <w:color w:val="000000"/>
          <w:sz w:val="16"/>
        </w:rPr>
      </w:pPr>
      <w:r>
        <w:rPr>
          <w:rFonts w:ascii="Times New Roman;sans-serif" w:hAnsi="Times New Roman;sans-serif"/>
          <w:b w:val="false"/>
          <w:color w:val="000000"/>
          <w:sz w:val="16"/>
        </w:rPr>
        <w:t>Check the appropriate box:</w:t>
      </w:r>
    </w:p>
    <w:p>
      <w:pPr>
        <w:pStyle w:val="TextBody"/>
        <w:spacing w:lineRule="auto" w:line="288" w:before="90" w:after="283"/>
        <w:rPr/>
      </w:pPr>
      <w:r>
        <w:rPr>
          <w:color w:val="000000"/>
        </w:rPr>
        <w:t xml:space="preserve">☐ </w:t>
      </w:r>
      <w:r>
        <w:rPr>
          <w:rFonts w:ascii="Times New Roman;sans-serif" w:hAnsi="Times New Roman;sans-serif"/>
          <w:b w:val="false"/>
          <w:color w:val="000000"/>
          <w:sz w:val="16"/>
        </w:rPr>
        <w:t>Preliminary Proxy Statement</w:t>
      </w:r>
    </w:p>
    <w:p>
      <w:pPr>
        <w:pStyle w:val="TextBody"/>
        <w:spacing w:lineRule="auto" w:line="288" w:before="90" w:after="283"/>
        <w:rPr/>
      </w:pPr>
      <w:r>
        <w:rPr>
          <w:color w:val="000000"/>
        </w:rPr>
        <w:t xml:space="preserve">☐ </w:t>
      </w:r>
      <w:r>
        <w:rPr>
          <w:rFonts w:ascii="Times New Roman;sans-serif" w:hAnsi="Times New Roman;sans-serif"/>
          <w:b/>
          <w:color w:val="000000"/>
          <w:sz w:val="16"/>
        </w:rPr>
        <w:t>Confidential, for Use of the Commission Only (as permitted by Rule 14a-6(e)(2))</w:t>
      </w:r>
    </w:p>
    <w:p>
      <w:pPr>
        <w:pStyle w:val="TextBody"/>
        <w:spacing w:lineRule="auto" w:line="288" w:before="90" w:after="283"/>
        <w:rPr/>
      </w:pPr>
      <w:r>
        <w:rPr>
          <w:color w:val="000000"/>
        </w:rPr>
        <w:t xml:space="preserve">☐ </w:t>
      </w:r>
      <w:r>
        <w:rPr>
          <w:rFonts w:ascii="Times New Roman;sans-serif" w:hAnsi="Times New Roman;sans-serif"/>
          <w:b w:val="false"/>
          <w:color w:val="000000"/>
          <w:sz w:val="16"/>
        </w:rPr>
        <w:t>Definitive Proxy Statement</w:t>
      </w:r>
    </w:p>
    <w:p>
      <w:pPr>
        <w:pStyle w:val="TextBody"/>
        <w:spacing w:lineRule="auto" w:line="288" w:before="90" w:after="283"/>
        <w:rPr/>
      </w:pPr>
      <w:r>
        <w:rPr>
          <w:rFonts w:ascii="Wingdings;sans-serif" w:hAnsi="Wingdings;sans-serif"/>
          <w:b w:val="false"/>
          <w:color w:val="000000"/>
          <w:sz w:val="16"/>
        </w:rPr>
        <w:t xml:space="preserve">x </w:t>
      </w:r>
      <w:r>
        <w:rPr>
          <w:rFonts w:ascii="Times New Roman;sans-serif" w:hAnsi="Times New Roman;sans-serif"/>
          <w:b w:val="false"/>
          <w:color w:val="000000"/>
          <w:sz w:val="16"/>
        </w:rPr>
        <w:t>Definitive Additional Materials</w:t>
      </w:r>
    </w:p>
    <w:p>
      <w:pPr>
        <w:pStyle w:val="TextBody"/>
        <w:spacing w:lineRule="auto" w:line="288" w:before="90" w:after="283"/>
        <w:rPr/>
      </w:pPr>
      <w:r>
        <w:rPr>
          <w:color w:val="000000"/>
        </w:rPr>
        <w:t xml:space="preserve">☐ </w:t>
      </w:r>
      <w:r>
        <w:rPr>
          <w:rFonts w:ascii="Times New Roman;sans-serif" w:hAnsi="Times New Roman;sans-serif"/>
          <w:b w:val="false"/>
          <w:color w:val="000000"/>
          <w:sz w:val="16"/>
        </w:rPr>
        <w:t>Soliciting Material under §240.14a-12</w:t>
      </w:r>
    </w:p>
    <w:p>
      <w:pPr>
        <w:pStyle w:val="TextBody"/>
        <w:spacing w:lineRule="auto" w:line="288" w:before="270" w:after="283"/>
        <w:jc w:val="center"/>
        <w:rPr/>
      </w:pPr>
      <w:r>
        <w:rPr>
          <w:rFonts w:ascii="Times New Roman;sans-serif" w:hAnsi="Times New Roman;sans-serif"/>
          <w:b/>
          <w:color w:val="000000"/>
          <w:sz w:val="24"/>
        </w:rPr>
        <w:t>Ellington Financial Inc.</w:t>
      </w: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13"/>
        </w:rPr>
      </w:pPr>
      <w:r>
        <w:rPr>
          <w:rFonts w:ascii="Times New Roman;sans-serif" w:hAnsi="Times New Roman;sans-serif"/>
          <w:b/>
          <w:color w:val="000000"/>
          <w:sz w:val="13"/>
        </w:rPr>
        <w:t>(Name of Registrant as Specified in its Charter)</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13"/>
        </w:rPr>
      </w:pPr>
      <w:r>
        <w:rPr>
          <w:rFonts w:ascii="Times New Roman;sans-serif" w:hAnsi="Times New Roman;sans-serif"/>
          <w:b/>
          <w:color w:val="000000"/>
          <w:sz w:val="13"/>
        </w:rPr>
        <w:t>(Name of Person(s) Filing Proxy Statement, if Other Than the Registrant)</w:t>
      </w:r>
    </w:p>
    <w:p>
      <w:pPr>
        <w:pStyle w:val="TextBody"/>
        <w:spacing w:lineRule="auto" w:line="288" w:before="200" w:after="283"/>
        <w:rPr>
          <w:rFonts w:ascii="Times New Roman;sans-serif" w:hAnsi="Times New Roman;sans-serif"/>
          <w:b w:val="false"/>
          <w:color w:val="000000"/>
          <w:sz w:val="16"/>
        </w:rPr>
      </w:pPr>
      <w:r>
        <w:rPr>
          <w:rFonts w:ascii="Times New Roman;sans-serif" w:hAnsi="Times New Roman;sans-serif"/>
          <w:b w:val="false"/>
          <w:color w:val="000000"/>
          <w:sz w:val="16"/>
        </w:rPr>
        <w:t>Payment of filing fee (Check the appropriate box):</w:t>
      </w:r>
    </w:p>
    <w:p>
      <w:pPr>
        <w:pStyle w:val="TextBody"/>
        <w:spacing w:lineRule="auto" w:line="288" w:before="90" w:after="283"/>
        <w:rPr/>
      </w:pPr>
      <w:r>
        <w:rPr>
          <w:rFonts w:ascii="Wingdings;sans-serif" w:hAnsi="Wingdings;sans-serif"/>
          <w:b w:val="false"/>
          <w:color w:val="000000"/>
          <w:sz w:val="16"/>
        </w:rPr>
        <w:t xml:space="preserve">x </w:t>
      </w:r>
      <w:r>
        <w:rPr>
          <w:rFonts w:ascii="Times New Roman;sans-serif" w:hAnsi="Times New Roman;sans-serif"/>
          <w:b w:val="false"/>
          <w:color w:val="000000"/>
          <w:sz w:val="16"/>
        </w:rPr>
        <w:t>No fee required</w:t>
      </w:r>
    </w:p>
    <w:p>
      <w:pPr>
        <w:pStyle w:val="TextBody"/>
        <w:spacing w:lineRule="auto" w:line="288" w:before="90" w:after="283"/>
        <w:rPr/>
      </w:pPr>
      <w:r>
        <w:rPr>
          <w:color w:val="000000"/>
        </w:rPr>
        <w:t xml:space="preserve">☐ </w:t>
      </w:r>
      <w:r>
        <w:rPr>
          <w:rFonts w:ascii="Times New Roman;sans-serif" w:hAnsi="Times New Roman;sans-serif"/>
          <w:b w:val="false"/>
          <w:color w:val="000000"/>
          <w:sz w:val="16"/>
        </w:rPr>
        <w:t>Fee paid previously with preliminary materials</w:t>
      </w:r>
    </w:p>
    <w:p>
      <w:pPr>
        <w:pStyle w:val="TextBody"/>
        <w:spacing w:lineRule="auto" w:line="288" w:before="90" w:after="283"/>
        <w:rPr/>
      </w:pPr>
      <w:r>
        <w:rPr>
          <w:color w:val="000000"/>
        </w:rPr>
        <w:t xml:space="preserve">☐ </w:t>
      </w:r>
      <w:r>
        <w:rPr>
          <w:rFonts w:ascii="Times New Roman;sans-serif" w:hAnsi="Times New Roman;sans-serif"/>
          <w:b w:val="false"/>
          <w:color w:val="000000"/>
          <w:sz w:val="16"/>
        </w:rPr>
        <w:t>Fee computed on table in exhibit required by Item 25(b) per Exchange Act Rules 14a-6(i)(1) and 0-11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drawing>
          <wp:inline distT="0" distB="63500" distL="0" distR="0">
            <wp:extent cx="2381250" cy="5524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381250" cy="552450"/>
                    </a:xfrm>
                    <a:prstGeom prst="rect">
                      <a:avLst/>
                    </a:prstGeom>
                  </pic:spPr>
                </pic:pic>
              </a:graphicData>
            </a:graphic>
          </wp:inline>
        </w:drawing>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53 Forest Avenue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Old Greenwich, Connecticut 06870</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ELLINGTON FINANCIAL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MATERIAL TO OUR PROXY STATEMENT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ANNUAL MEETING OF STOCKHOLDERS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BE HELD ON MAY 16, 2023</w:t>
      </w:r>
    </w:p>
    <w:p>
      <w:pPr>
        <w:pStyle w:val="TextBody"/>
        <w:spacing w:lineRule="auto" w:line="288" w:before="27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proxy statement supplement, dated May 5, 2023, supplements the definitive proxy statement on Schedule 14A (together with subsequent supplements, the “Proxy Statement”) of Ellington Financial Inc. (“we”, “our” or the “Company”) that was filed with the Securities and Exchange Commission (the “SEC”) on April 6, 2023, relating to the Company’s 2023 annual meeting of stockholders to be held on May 16, 2023 (the “2023 Annual Meeting”). Except as specifically revised or supplemented by the information contained in this proxy statement supplement, all information set forth in the Proxy Statement continues to apply and should be considered in voting your shares. </w:t>
      </w:r>
    </w:p>
    <w:p>
      <w:pPr>
        <w:pStyle w:val="TextBody"/>
        <w:spacing w:lineRule="auto" w:line="288" w:before="270" w:after="283"/>
        <w:rPr>
          <w:rFonts w:ascii="Times New Roman;sans-serif" w:hAnsi="Times New Roman;sans-serif"/>
          <w:b/>
          <w:color w:val="000000"/>
          <w:sz w:val="20"/>
        </w:rPr>
      </w:pPr>
      <w:r>
        <w:rPr>
          <w:rFonts w:ascii="Times New Roman;sans-serif" w:hAnsi="Times New Roman;sans-serif"/>
          <w:b/>
          <w:color w:val="000000"/>
          <w:sz w:val="20"/>
        </w:rPr>
        <w:t xml:space="preserve">Revised Text in the Proxy Statement </w:t>
      </w:r>
    </w:p>
    <w:p>
      <w:pPr>
        <w:pStyle w:val="TextBody"/>
        <w:spacing w:lineRule="auto" w:line="288" w:before="90" w:after="283"/>
        <w:ind w:left="0" w:right="0" w:firstLine="450"/>
        <w:rPr/>
      </w:pPr>
      <w:r>
        <w:rPr>
          <w:rFonts w:ascii="Times New Roman;sans-serif" w:hAnsi="Times New Roman;sans-serif"/>
          <w:b w:val="false"/>
          <w:color w:val="000000"/>
          <w:sz w:val="20"/>
        </w:rPr>
        <w:t>The answer to the question "</w:t>
      </w:r>
      <w:r>
        <w:rPr>
          <w:rFonts w:ascii="Times New Roman;sans-serif" w:hAnsi="Times New Roman;sans-serif"/>
          <w:b/>
          <w:i/>
          <w:color w:val="000000"/>
          <w:sz w:val="20"/>
        </w:rPr>
        <w:t>What vote is required to approve the proposals assuming that a quorum is present at the Annual Meeting?</w:t>
      </w:r>
      <w:r>
        <w:rPr>
          <w:rFonts w:ascii="Times New Roman;sans-serif" w:hAnsi="Times New Roman;sans-serif"/>
          <w:b w:val="false"/>
          <w:color w:val="000000"/>
          <w:sz w:val="20"/>
        </w:rPr>
        <w:t xml:space="preserve">" for Proposal 2 on page 4 of the Proxy Statement is hereby deleted and replaced in its entirety with the following: </w:t>
      </w:r>
    </w:p>
    <w:tbl>
      <w:tblPr>
        <w:tblW w:w="10205" w:type="dxa"/>
        <w:jc w:val="center"/>
        <w:tblInd w:w="0" w:type="dxa"/>
        <w:tblCellMar>
          <w:top w:w="28" w:type="dxa"/>
          <w:left w:w="28" w:type="dxa"/>
          <w:bottom w:w="28" w:type="dxa"/>
          <w:right w:w="28" w:type="dxa"/>
        </w:tblCellMar>
      </w:tblPr>
      <w:tblGrid>
        <w:gridCol w:w="2005"/>
        <w:gridCol w:w="1759"/>
        <w:gridCol w:w="1775"/>
        <w:gridCol w:w="109"/>
        <w:gridCol w:w="109"/>
        <w:gridCol w:w="109"/>
        <w:gridCol w:w="1269"/>
        <w:gridCol w:w="1269"/>
        <w:gridCol w:w="1801"/>
      </w:tblGrid>
      <w:tr>
        <w:trPr/>
        <w:tc>
          <w:tcPr>
            <w:tcW w:w="2005" w:type="dxa"/>
            <w:tcBorders/>
            <w:shd w:fill="auto" w:val="clear"/>
            <w:vAlign w:val="center"/>
          </w:tcPr>
          <w:p>
            <w:pPr>
              <w:pStyle w:val="TableContents"/>
              <w:spacing w:before="0" w:after="283"/>
              <w:rPr>
                <w:sz w:val="4"/>
                <w:szCs w:val="4"/>
              </w:rPr>
            </w:pPr>
            <w:r>
              <w:rPr>
                <w:sz w:val="4"/>
                <w:szCs w:val="4"/>
              </w:rPr>
            </w:r>
          </w:p>
        </w:tc>
        <w:tc>
          <w:tcPr>
            <w:tcW w:w="1759"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801" w:type="dxa"/>
            <w:tcBorders/>
            <w:shd w:fill="auto" w:val="clear"/>
            <w:vAlign w:val="center"/>
          </w:tcPr>
          <w:p>
            <w:pPr>
              <w:pStyle w:val="TableContents"/>
              <w:spacing w:before="0" w:after="283"/>
              <w:rPr>
                <w:sz w:val="4"/>
                <w:szCs w:val="4"/>
              </w:rPr>
            </w:pPr>
            <w:r>
              <w:rPr>
                <w:sz w:val="4"/>
                <w:szCs w:val="4"/>
              </w:rPr>
            </w:r>
          </w:p>
        </w:tc>
      </w:tr>
      <w:tr>
        <w:trPr/>
        <w:tc>
          <w:tcPr>
            <w:tcW w:w="55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Proposal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 Requirement</w:t>
            </w:r>
          </w:p>
        </w:tc>
      </w:tr>
      <w:tr>
        <w:trPr/>
        <w:tc>
          <w:tcPr>
            <w:tcW w:w="55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2: Amendment of our Charter to Increase the Total Authorized Number of Common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affirmative vote of at least a majority of Common Shares outstanding.</w:t>
            </w:r>
          </w:p>
        </w:tc>
      </w:tr>
    </w:tbl>
    <w:p>
      <w:pPr>
        <w:pStyle w:val="TextBody"/>
        <w:spacing w:lineRule="auto" w:line="288" w:before="270" w:after="283"/>
        <w:ind w:left="0" w:right="0" w:firstLine="450"/>
        <w:rPr/>
      </w:pPr>
      <w:r>
        <w:rPr>
          <w:rFonts w:ascii="Times New Roman;sans-serif" w:hAnsi="Times New Roman;sans-serif"/>
          <w:b w:val="false"/>
          <w:color w:val="000000"/>
          <w:sz w:val="20"/>
        </w:rPr>
        <w:t>The answer to the question "</w:t>
      </w:r>
      <w:r>
        <w:rPr>
          <w:rFonts w:ascii="Times New Roman;sans-serif" w:hAnsi="Times New Roman;sans-serif"/>
          <w:b/>
          <w:i/>
          <w:color w:val="000000"/>
          <w:sz w:val="20"/>
        </w:rPr>
        <w:t>How are abstentions, withhold, and broker non-votes treated?</w:t>
      </w:r>
      <w:r>
        <w:rPr>
          <w:rFonts w:ascii="Times New Roman;sans-serif" w:hAnsi="Times New Roman;sans-serif"/>
          <w:b w:val="false"/>
          <w:color w:val="000000"/>
          <w:sz w:val="20"/>
        </w:rPr>
        <w:t xml:space="preserve">" for Proposal 2 on page 5 of the Proxy Statement is hereby deleted and replaced in its entirety with the following: </w:t>
      </w:r>
    </w:p>
    <w:tbl>
      <w:tblPr>
        <w:tblW w:w="10205" w:type="dxa"/>
        <w:jc w:val="center"/>
        <w:tblInd w:w="0" w:type="dxa"/>
        <w:tblCellMar>
          <w:top w:w="28" w:type="dxa"/>
          <w:left w:w="28" w:type="dxa"/>
          <w:bottom w:w="28" w:type="dxa"/>
          <w:right w:w="28" w:type="dxa"/>
        </w:tblCellMar>
      </w:tblPr>
      <w:tblGrid>
        <w:gridCol w:w="1400"/>
        <w:gridCol w:w="1228"/>
        <w:gridCol w:w="1240"/>
        <w:gridCol w:w="109"/>
        <w:gridCol w:w="109"/>
        <w:gridCol w:w="109"/>
        <w:gridCol w:w="1774"/>
        <w:gridCol w:w="1747"/>
        <w:gridCol w:w="2489"/>
      </w:tblGrid>
      <w:tr>
        <w:trPr/>
        <w:tc>
          <w:tcPr>
            <w:tcW w:w="1400"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4" w:type="dxa"/>
            <w:tcBorders/>
            <w:shd w:fill="auto" w:val="clear"/>
            <w:vAlign w:val="center"/>
          </w:tcPr>
          <w:p>
            <w:pPr>
              <w:pStyle w:val="TableContents"/>
              <w:spacing w:before="0" w:after="283"/>
              <w:rPr>
                <w:sz w:val="4"/>
                <w:szCs w:val="4"/>
              </w:rPr>
            </w:pPr>
            <w:r>
              <w:rPr>
                <w:sz w:val="4"/>
                <w:szCs w:val="4"/>
              </w:rPr>
            </w:r>
          </w:p>
        </w:tc>
        <w:tc>
          <w:tcPr>
            <w:tcW w:w="1747" w:type="dxa"/>
            <w:tcBorders/>
            <w:shd w:fill="auto" w:val="clear"/>
            <w:vAlign w:val="center"/>
          </w:tcPr>
          <w:p>
            <w:pPr>
              <w:pStyle w:val="TableContents"/>
              <w:spacing w:before="0" w:after="283"/>
              <w:rPr>
                <w:sz w:val="4"/>
                <w:szCs w:val="4"/>
              </w:rPr>
            </w:pPr>
            <w:r>
              <w:rPr>
                <w:sz w:val="4"/>
                <w:szCs w:val="4"/>
              </w:rPr>
            </w:r>
          </w:p>
        </w:tc>
        <w:tc>
          <w:tcPr>
            <w:tcW w:w="2489" w:type="dxa"/>
            <w:tcBorders/>
            <w:shd w:fill="auto" w:val="clear"/>
            <w:vAlign w:val="center"/>
          </w:tcPr>
          <w:p>
            <w:pPr>
              <w:pStyle w:val="TableContents"/>
              <w:spacing w:before="0" w:after="283"/>
              <w:rPr>
                <w:sz w:val="4"/>
                <w:szCs w:val="4"/>
              </w:rPr>
            </w:pPr>
            <w:r>
              <w:rPr>
                <w:sz w:val="4"/>
                <w:szCs w:val="4"/>
              </w:rPr>
            </w:r>
          </w:p>
        </w:tc>
      </w:tr>
      <w:tr>
        <w:trPr/>
        <w:tc>
          <w:tcPr>
            <w:tcW w:w="38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Proposal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Treatment of Abstentions and Broker Non-Votes</w:t>
            </w:r>
          </w:p>
        </w:tc>
      </w:tr>
      <w:tr>
        <w:trPr/>
        <w:tc>
          <w:tcPr>
            <w:tcW w:w="38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2: Amendment of our Charter to Increase the Total Authorized Number of Common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Abstentions, withhold votes, broker non-votes and Common Shares not represented at the Annual Meeting will have the same effect as a vote against this proposal.</w:t>
            </w:r>
          </w:p>
        </w:tc>
      </w:tr>
    </w:tbl>
    <w:p>
      <w:pPr>
        <w:pStyle w:val="TextBody"/>
        <w:spacing w:lineRule="auto" w:line="288" w:before="270" w:after="283"/>
        <w:rPr>
          <w:rFonts w:ascii="Times New Roman;sans-serif" w:hAnsi="Times New Roman;sans-serif"/>
          <w:b/>
          <w:color w:val="000000"/>
          <w:sz w:val="20"/>
        </w:rPr>
      </w:pPr>
      <w:r>
        <w:rPr>
          <w:rFonts w:ascii="Times New Roman;sans-serif" w:hAnsi="Times New Roman;sans-serif"/>
          <w:b/>
          <w:color w:val="000000"/>
          <w:sz w:val="20"/>
        </w:rPr>
        <w:t>Engagement of Proxy Solicitor</w:t>
      </w:r>
    </w:p>
    <w:p>
      <w:pPr>
        <w:pStyle w:val="TextBody"/>
        <w:spacing w:lineRule="auto" w:line="288" w:before="9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5, 2023, we engaged Morrow Sodali LLC ("Morrow") to assist in soliciting of proxies on our behalf. We have agreed to pay Morrow a fee of $17,500 for these services, plus reimbursement of authorized costs and expenses Morrow incurs on our behalf. Additionally, if Morrow is requested to implement a telephone solicitation of stockholders, Morrow will be entitled to a fee of $6.50 per stockholder. </w:t>
      </w:r>
    </w:p>
    <w:p>
      <w:pPr>
        <w:pStyle w:val="TextBody"/>
        <w:spacing w:lineRule="auto" w:line="288" w:before="18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If you have questions about how to vote or direct a vote in respect of your shares, you may contact Morrow at:</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Morrow Sodali LLC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 Ludlow Street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5th Floor, South Tower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Stamford, Connecticut 06902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Individuals (toll-free): (800) 662-5200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Banks and brokerage firms, please call collect: (203) 658-9400</w:t>
      </w:r>
    </w:p>
    <w:p>
      <w:pPr>
        <w:pStyle w:val="TextBody"/>
        <w:spacing w:lineRule="auto" w:line="288"/>
        <w:jc w:val="center"/>
        <w:rPr>
          <w:rFonts w:ascii="Times New Roman;sans-serif" w:hAnsi="Times New Roman;sans-serif"/>
          <w:b w:val="false"/>
          <w:color w:val="000000"/>
          <w:sz w:val="20"/>
        </w:rPr>
      </w:pPr>
      <w:r>
        <w:rPr>
          <w:rFonts w:ascii="Times New Roman;sans-serif" w:hAnsi="Times New Roman;sans-serif"/>
          <w:b w:val="false"/>
          <w:color w:val="000000"/>
          <w:sz w:val="20"/>
        </w:rPr>
        <w:t>Email: EFC@investor.morrowsodali.com</w:t>
      </w:r>
      <w:r>
        <w:br w:type="page"/>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w:t>
      </w:r>
      <w:r>
        <w:rPr>
          <w:rFonts w:ascii="Times New Roman;sans-serif" w:hAnsi="Times New Roman;sans-serif"/>
          <w:b/>
          <w:color w:val="000000"/>
          <w:sz w:val="20"/>
        </w:rPr>
        <w:t>mportant Information</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9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has filed the Proxy Statement with the SEC and has furnished to its stockholders the Proxy Statement in connection with the solicitation of proxies for the 2023 Annual Meeting. The Company advises its stockholders to read the Proxy Statement relating to the 2023 Annual Meeting, as amended and supplemented by this supplement, because it contains important information.</w:t>
      </w:r>
    </w:p>
    <w:p>
      <w:pPr>
        <w:pStyle w:val="TextBody"/>
        <w:spacing w:lineRule="auto" w:line="288" w:before="18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Please refer to the Proxy Statement for instructions on how to submit your vote, or how you may change your vote if you have already voted. This supplement does not change the proposals to be acted upon at the 2023 Annual Meeting, which are described in the Proxy Statement.</w:t>
      </w:r>
    </w:p>
    <w:p>
      <w:pPr>
        <w:pStyle w:val="TextBody"/>
        <w:spacing w:lineRule="auto" w:line="288" w:before="270" w:after="283"/>
        <w:rPr/>
      </w:pPr>
      <w:r>
        <w:rPr>
          <w:rFonts w:ascii="Times New Roman;sans-serif" w:hAnsi="Times New Roman;sans-serif"/>
          <w:b/>
          <w:color w:val="000000"/>
          <w:sz w:val="20"/>
        </w:rPr>
        <w:t xml:space="preserve">Please ensure that your shares are represented at the 2023 Annual Meeting, as your vote is important. </w:t>
      </w:r>
      <w:r>
        <w:rPr>
          <w:rFonts w:ascii="Times New Roman;sans-serif" w:hAnsi="Times New Roman;sans-serif"/>
          <w:b w:val="false"/>
          <w:color w:val="000000"/>
          <w:sz w:val="20"/>
        </w:rPr>
        <w:t>Stockholders may obtain a free copy of the Proxy Statement and other documents that the Company files with the SEC at the SEC’s website at www.sec.gov.</w:t>
      </w:r>
      <w:r>
        <w:br w:type="page"/>
      </w:r>
    </w:p>
    <w:p>
      <w:pPr>
        <w:pStyle w:val="TextBody"/>
        <w:spacing w:before="0" w:after="283"/>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708</Words>
  <CharactersWithSpaces>4459</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