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April 27, 2026</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ELLINGTON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p>
      <w:pPr>
        <w:ind w:left="1480"/>
        <w:spacing w:after="0"/>
        <w:tabs>
          <w:tab w:leader="none" w:pos="5200" w:val="left"/>
          <w:tab w:leader="none" w:pos="89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001-34569</w:t>
      </w:r>
      <w:r>
        <w:rPr>
          <w:sz w:val="20"/>
          <w:szCs w:val="20"/>
          <w:color w:val="auto"/>
        </w:rPr>
        <w:tab/>
      </w:r>
      <w:r>
        <w:rPr>
          <w:rFonts w:ascii="Times New Roman" w:cs="Times New Roman" w:eastAsia="Times New Roman" w:hAnsi="Times New Roman"/>
          <w:sz w:val="18"/>
          <w:szCs w:val="18"/>
          <w:b w:val="1"/>
          <w:bCs w:val="1"/>
          <w:color w:val="auto"/>
        </w:rPr>
        <w:t>26-0489289</w:t>
      </w:r>
    </w:p>
    <w:p>
      <w:pPr>
        <w:spacing w:after="0" w:line="29"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240"/>
        <w:spacing w:after="0"/>
        <w:tabs>
          <w:tab w:leader="none" w:pos="4600" w:val="left"/>
          <w:tab w:leader="none" w:pos="8120" w:val="left"/>
        </w:tabs>
        <w:rPr>
          <w:sz w:val="20"/>
          <w:szCs w:val="20"/>
          <w:color w:val="auto"/>
        </w:rPr>
      </w:pPr>
      <w:r>
        <w:rPr>
          <w:rFonts w:ascii="Times New Roman" w:cs="Times New Roman" w:eastAsia="Times New Roman" w:hAnsi="Times New Roman"/>
          <w:sz w:val="18"/>
          <w:szCs w:val="18"/>
          <w:color w:val="auto"/>
        </w:rPr>
        <w:t>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and zip code of principal executive offices)</w:t>
      </w:r>
    </w:p>
    <w:p>
      <w:pPr>
        <w:spacing w:after="0" w:line="14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698-1200</w:t>
      </w:r>
    </w:p>
    <w:p>
      <w:pPr>
        <w:spacing w:after="0" w:line="17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72" w:lineRule="exact"/>
        <w:rPr>
          <w:sz w:val="24"/>
          <w:szCs w:val="24"/>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4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63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7" w:lineRule="exact"/>
        <w:rPr>
          <w:sz w:val="24"/>
          <w:szCs w:val="24"/>
          <w:color w:val="auto"/>
        </w:rPr>
      </w:pPr>
    </w:p>
    <w:p>
      <w:pPr>
        <w:ind w:left="180" w:right="1260" w:hanging="161"/>
        <w:spacing w:after="0" w:line="234" w:lineRule="auto"/>
        <w:rPr>
          <w:sz w:val="20"/>
          <w:szCs w:val="20"/>
          <w:color w:val="auto"/>
        </w:rPr>
      </w:pPr>
      <w:r>
        <w:rPr>
          <w:rFonts w:ascii="Times New Roman" w:cs="Times New Roman" w:eastAsia="Times New Roman" w:hAnsi="Times New Roman"/>
          <w:sz w:val="18"/>
          <w:szCs w:val="18"/>
          <w:color w:val="auto"/>
        </w:rPr>
        <w:t>6.250% Series B Fixed-Rate Reset Cumulative Redeemable Preferred Stock</w:t>
      </w:r>
    </w:p>
    <w:p>
      <w:pPr>
        <w:spacing w:after="0" w:line="10" w:lineRule="exact"/>
        <w:rPr>
          <w:sz w:val="24"/>
          <w:szCs w:val="24"/>
          <w:color w:val="auto"/>
        </w:rPr>
      </w:pPr>
    </w:p>
    <w:p>
      <w:pPr>
        <w:ind w:left="180" w:right="1260" w:hanging="161"/>
        <w:spacing w:after="0" w:line="237" w:lineRule="auto"/>
        <w:rPr>
          <w:sz w:val="20"/>
          <w:szCs w:val="20"/>
          <w:color w:val="auto"/>
        </w:rPr>
      </w:pPr>
      <w:r>
        <w:rPr>
          <w:rFonts w:ascii="Times New Roman" w:cs="Times New Roman" w:eastAsia="Times New Roman" w:hAnsi="Times New Roman"/>
          <w:sz w:val="18"/>
          <w:szCs w:val="18"/>
          <w:color w:val="auto"/>
        </w:rPr>
        <w:t>8.625% Series C Fixed-Rate Reset Cumulative Redeemable Preferred Stock</w:t>
      </w:r>
    </w:p>
    <w:p>
      <w:pPr>
        <w:spacing w:after="0" w:line="10" w:lineRule="exact"/>
        <w:rPr>
          <w:sz w:val="24"/>
          <w:szCs w:val="24"/>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7.00% Series D Cumulative Perpetual Redeemable Preferred Stock</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EFC</w:t>
            </w:r>
          </w:p>
        </w:tc>
        <w:tc>
          <w:tcPr>
            <w:tcW w:w="12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414"/>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EFC PR B</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418"/>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EFC PR C</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419"/>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EFC PRD</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144" w:lineRule="exact"/>
        <w:rPr>
          <w:sz w:val="24"/>
          <w:szCs w:val="24"/>
          <w:color w:val="auto"/>
        </w:rPr>
      </w:pPr>
    </w:p>
    <w:p>
      <w:pPr>
        <w:sectPr>
          <w:pgSz w:w="11900" w:h="16838" w:orient="portrait"/>
          <w:cols w:equalWidth="0" w:num="2">
            <w:col w:w="4400" w:space="220"/>
            <w:col w:w="6620"/>
          </w:cols>
          <w:pgMar w:left="320" w:top="999" w:right="339" w:bottom="1440" w:gutter="0" w:footer="0" w:header="0"/>
          <w:type w:val="continuous"/>
        </w:sectPr>
      </w:pPr>
    </w:p>
    <w:p>
      <w:pPr>
        <w:ind w:right="60" w:firstLine="405"/>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1"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by Ellington Financial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pursuant to Item 7.01 of Form 8-K in satisfaction of the public disclosure requirements of Regulation FD.</w:t>
      </w:r>
    </w:p>
    <w:p>
      <w:pPr>
        <w:spacing w:after="0" w:line="153"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On April 27, 2026, the Company issued a press release announcing its estimated book value per share of common stock as of March 31, 2026. A copy of the press release is furnished herewith as Exhibit 99.1 to this Current Report on Form 8-K and is incorporated herein by reference.</w:t>
      </w:r>
    </w:p>
    <w:p>
      <w:pPr>
        <w:spacing w:after="0" w:line="108" w:lineRule="exact"/>
        <w:rPr>
          <w:sz w:val="20"/>
          <w:szCs w:val="20"/>
          <w:color w:val="auto"/>
        </w:rPr>
      </w:pPr>
    </w:p>
    <w:p>
      <w:pPr>
        <w:ind w:right="240" w:firstLine="445"/>
        <w:spacing w:after="0" w:line="281" w:lineRule="auto"/>
        <w:rPr>
          <w:sz w:val="20"/>
          <w:szCs w:val="20"/>
          <w:color w:val="auto"/>
        </w:rPr>
      </w:pPr>
      <w:r>
        <w:rPr>
          <w:rFonts w:ascii="Times New Roman" w:cs="Times New Roman" w:eastAsia="Times New Roman" w:hAnsi="Times New Roman"/>
          <w:sz w:val="17"/>
          <w:szCs w:val="17"/>
          <w:color w:val="auto"/>
        </w:rPr>
        <w:t>In accordance with General Instructions B.2 and B.6 of Form 8-K, the information included in Item 7.01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1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 The following exhibit is being furnished herewith this Current Report on Form 8-K.</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April 27, 2026</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ELLINGTON FINANCIAL INC.</w:t>
      </w:r>
    </w:p>
    <w:p>
      <w:pPr>
        <w:spacing w:after="0" w:line="297" w:lineRule="exact"/>
        <w:rPr>
          <w:sz w:val="20"/>
          <w:szCs w:val="20"/>
          <w:color w:val="auto"/>
        </w:rPr>
      </w:pPr>
    </w:p>
    <w:p>
      <w:pPr>
        <w:ind w:left="60"/>
        <w:spacing w:after="0"/>
        <w:tabs>
          <w:tab w:leader="none" w:pos="700" w:val="left"/>
          <w:tab w:leader="none" w:pos="6360" w:val="left"/>
          <w:tab w:leader="none" w:pos="7200" w:val="left"/>
        </w:tabs>
        <w:rPr>
          <w:sz w:val="20"/>
          <w:szCs w:val="20"/>
          <w:color w:val="auto"/>
        </w:rPr>
      </w:pPr>
      <w:r>
        <w:rPr>
          <w:rFonts w:ascii="Times New Roman" w:cs="Times New Roman" w:eastAsia="Times New Roman" w:hAnsi="Times New Roman"/>
          <w:sz w:val="18"/>
          <w:szCs w:val="18"/>
          <w:color w:val="auto"/>
        </w:rPr>
        <w:t>Date:</w:t>
        <w:tab/>
        <w:t>April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JR Herlihy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46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JR Herlihy</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Ellington Financial Announces Estimated Book Value Per Common Share as of March 31, 2026</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OLD GREENWICH, Conn., April 27, 2026—Ellington Financial Inc. (NYSE: EFC) ("we") today announced an estimated book value per share of common stock of $13.56 as of March 31, 2026. This estimate includes the effect of the previously announced monthly dividend of $0.13 per share of common stock, to be paid on April 30, 2026 to holders of record on March 31, 2026, with the same ex-dividend date.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Estimated book value per common share is subject to change upon completion of our month-end and quarter-end valuation procedures relating to our investment positions, and any such change could be material. There can be no assurance that our estimated book value per common share as of March 31, 2026 is indicative of what our results are likely to be for the three-month period ending March 31, 2026 or in future periods, and we undertake no obligation to update or revise our estimated book value per common share prior to issuance of financial statements for such periods.</w:t>
      </w:r>
    </w:p>
    <w:p>
      <w:pPr>
        <w:spacing w:after="0" w:line="1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safe harbor provisions of the Private Securities Litigation Reform Act of 1995.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release and the information contained herein do not constitute an offer of any securities or solicitation of an offer to purchase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Ellington Financial</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visit www.ellingtonfinancial.com.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2026-04-28T05:25:42Z</dcterms:created>
  <dcterms:modified xsi:type="dcterms:W3CDTF">2026-04-28T05:25:42Z</dcterms:modified>
</cp:coreProperties>
</file>